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>
          <w:rFonts w:ascii="Merriweather" w:hAnsi="Merriweather" w:eastAsia="Merriweather" w:cs="Merriweather"/>
          <w:sz w:val="30"/>
          <w:szCs w:val="30"/>
        </w:rPr>
      </w:pPr>
      <w:r>
        <w:rPr>
          <w:rFonts w:eastAsia="Merriweather" w:cs="Merriweather" w:ascii="Merriweather" w:hAnsi="Merriweather"/>
          <w:sz w:val="30"/>
          <w:szCs w:val="30"/>
        </w:rPr>
        <w:t>COMMONHOLD AND LEASHOLD REFORM ACT 2002</w:t>
      </w:r>
    </w:p>
    <w:p>
      <w:pPr>
        <w:pStyle w:val="normal1"/>
        <w:jc w:val="center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>Notice of Cover</w:t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To Compton Group, PO Box 425, Swansea, SA6 8YH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We are the tenants of house at 4036 Misty Mills</w:t>
        <w:br/>
        <w:t xml:space="preserve">Dyermouth, PA 79634.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house is insured under an insurance policy issued by </w:t>
      </w:r>
      <w:r>
        <w:rPr>
          <w:rFonts w:eastAsia="Merriweather" w:cs="Merriweather" w:ascii="Merriweather" w:hAnsi="Merriweather"/>
          <w:i/>
          <w:iCs/>
        </w:rPr>
        <w:t xml:space="preserve">1077 Amanda Lane</w:t>
        <w:br/>
        <w:t xml:space="preserve">Richardsonbury, AK 22897</w:t>
      </w:r>
      <w:r>
        <w:rPr>
          <w:rFonts w:eastAsia="Merriweather" w:cs="Merriweather" w:ascii="Merriweather" w:hAnsi="Merriweather"/>
        </w:rPr>
        <w:t xml:space="preserve"> who is an authorised insurer within the meaning of section 164 of the Commonhold and Leasehold Reform Act 2002.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policy number is 500404.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The risks covered by the policy are set out in the pages attached to this notice.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amount of cover (the sum insured) is </w:t>
      </w:r>
      <w:r>
        <w:rPr>
          <w:rFonts w:eastAsia="Merriweather" w:cs="Merriweather" w:ascii="Merriweather" w:hAnsi="Merriweather"/>
        </w:rPr>
        <w:t>£</w:t>
      </w:r>
      <w:r>
        <w:rPr>
          <w:rFonts w:eastAsia="Merriweather" w:cs="Merriweather" w:ascii="Merriweather" w:hAnsi="Merriweather"/>
        </w:rPr>
        <w:t xml:space="preserve">643395 and is provided for the period beginning on 2026-08-02 and ending on 2026-11-13.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Premiums are payable annually.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amount of excess under the policy is payable whenever the insurer makes a payment under the policy. The following excesses apply: £631 escape of water, £656 subsidence, £705 for all other claims. 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policy has been renewed and was last renewed on 2027-10-10.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We are satisfied that the policy covers our interests.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We have no reason to believe that the policy does not cover your interests.</w:t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 xml:space="preserve"/>
      </w:r>
      <w:r>
        <w:drawing>
          <wp:inline xmlns:a="http://schemas.openxmlformats.org/drawingml/2006/main">
            <wp:extent cx="2880000" cy="1080000"/>
            <wp:docPr id="100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0800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 xml:space="preserve">02/09/2026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roman"/>
    <w:pitch w:val="variable"/>
  </w:font>
  <w:font w:name="Merriweather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LibreOffice/25.8.4.2$Windows_X86_64 LibreOffice_project/290daaa01b999472f0c7a3890eb6a550fd74c6df</Application>
  <AppVersion>15.0000</AppVersion>
  <Pages>1</Pages>
  <Words>173</Words>
  <Characters>874</Characters>
  <CharactersWithSpaces>1022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2026-01-06T08:38:45Z</dcterms:modified>
  <cp:revision>6</cp:revision>
  <dc:subject/>
  <dc:title/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